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CBD" w:rsidRDefault="00BA0CBD"/>
    <w:p w:rsidR="00DD5152" w:rsidRPr="009E0F0A" w:rsidRDefault="00DD5152" w:rsidP="00DD5152">
      <w:pPr>
        <w:autoSpaceDE w:val="0"/>
        <w:autoSpaceDN w:val="0"/>
        <w:adjustRightInd w:val="0"/>
        <w:rPr>
          <w:rFonts w:ascii="Arial" w:eastAsia="Palatino-Roman" w:hAnsi="Arial" w:cs="Arial"/>
          <w:b/>
          <w:sz w:val="18"/>
          <w:szCs w:val="16"/>
        </w:rPr>
      </w:pPr>
      <w:r w:rsidRPr="009E0F0A">
        <w:rPr>
          <w:rFonts w:ascii="Arial" w:eastAsia="Palatino-Roman" w:hAnsi="Arial" w:cs="Arial"/>
          <w:b/>
          <w:szCs w:val="20"/>
        </w:rPr>
        <w:t xml:space="preserve">Ermittlung der </w:t>
      </w:r>
      <w:proofErr w:type="spellStart"/>
      <w:r w:rsidRPr="009E0F0A">
        <w:rPr>
          <w:rFonts w:ascii="Arial" w:eastAsia="Palatino-Roman" w:hAnsi="Arial" w:cs="Arial"/>
          <w:b/>
          <w:szCs w:val="20"/>
        </w:rPr>
        <w:t>Weibull</w:t>
      </w:r>
      <w:proofErr w:type="spellEnd"/>
      <w:r w:rsidRPr="009E0F0A">
        <w:rPr>
          <w:rFonts w:ascii="Arial" w:eastAsia="Palatino-Roman" w:hAnsi="Arial" w:cs="Arial"/>
          <w:b/>
          <w:szCs w:val="20"/>
        </w:rPr>
        <w:t xml:space="preserve"> Parameter m und </w:t>
      </w:r>
      <w:r w:rsidR="00D8659D">
        <w:rPr>
          <w:rFonts w:ascii="Arial" w:eastAsia="Palatino-Roman" w:hAnsi="Arial" w:cs="Arial"/>
          <w:b/>
          <w:szCs w:val="20"/>
        </w:rPr>
        <w:t>Sigma</w:t>
      </w:r>
      <w:r w:rsidR="00D8659D" w:rsidRPr="00D8659D">
        <w:rPr>
          <w:rFonts w:ascii="Arial" w:eastAsia="Palatino-Roman" w:hAnsi="Arial" w:cs="Arial"/>
          <w:b/>
          <w:szCs w:val="20"/>
        </w:rPr>
        <w:t>0</w:t>
      </w:r>
      <w:r w:rsidRPr="009E0F0A">
        <w:rPr>
          <w:rFonts w:ascii="Arial" w:eastAsia="Palatino-Roman" w:hAnsi="Arial" w:cs="Arial"/>
          <w:b/>
          <w:sz w:val="18"/>
          <w:szCs w:val="16"/>
        </w:rPr>
        <w:t>.</w:t>
      </w:r>
    </w:p>
    <w:p w:rsidR="009E0F0A" w:rsidRDefault="00D8659D" w:rsidP="00DD5152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  <w:r>
        <w:rPr>
          <w:rFonts w:ascii="Arial" w:eastAsia="Palatino-Roman" w:hAnsi="Arial" w:cs="Arial"/>
          <w:sz w:val="20"/>
          <w:szCs w:val="20"/>
        </w:rPr>
        <w:t>m ist das Maß für die Streuung der Festigkeitswerte. Je größer m desto enger liegen die Festigkeitswerte zusammen, desto genauer ist die Prognose der Belastung.</w:t>
      </w:r>
    </w:p>
    <w:p w:rsidR="00D8659D" w:rsidRDefault="00D8659D" w:rsidP="00DD5152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  <w:r>
        <w:rPr>
          <w:rFonts w:ascii="Arial" w:eastAsia="Palatino-Roman" w:hAnsi="Arial" w:cs="Arial"/>
          <w:sz w:val="20"/>
          <w:szCs w:val="20"/>
        </w:rPr>
        <w:t>Sigma0 ist der Wert, bei dem 63,2% der Proben versagen, e</w:t>
      </w:r>
      <w:r w:rsidR="007D5693">
        <w:rPr>
          <w:rFonts w:ascii="Arial" w:eastAsia="Palatino-Roman" w:hAnsi="Arial" w:cs="Arial"/>
          <w:sz w:val="20"/>
          <w:szCs w:val="20"/>
        </w:rPr>
        <w:t>r</w:t>
      </w:r>
      <w:r>
        <w:rPr>
          <w:rFonts w:ascii="Arial" w:eastAsia="Palatino-Roman" w:hAnsi="Arial" w:cs="Arial"/>
          <w:sz w:val="20"/>
          <w:szCs w:val="20"/>
        </w:rPr>
        <w:t xml:space="preserve"> wird auch als mittlere Festigkeit bezeichnet.</w:t>
      </w:r>
    </w:p>
    <w:p w:rsidR="00DD5152" w:rsidRPr="009E0F0A" w:rsidRDefault="00DD5152" w:rsidP="00DD5152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  <w:r w:rsidRPr="009E0F0A">
        <w:rPr>
          <w:rFonts w:ascii="Arial" w:eastAsia="Palatino-Roman" w:hAnsi="Arial" w:cs="Arial"/>
          <w:sz w:val="20"/>
          <w:szCs w:val="20"/>
        </w:rPr>
        <w:t xml:space="preserve">1. </w:t>
      </w:r>
      <w:r w:rsidR="00FB1772" w:rsidRPr="009E0F0A">
        <w:rPr>
          <w:rFonts w:ascii="Arial" w:eastAsia="Palatino-Roman" w:hAnsi="Arial" w:cs="Arial"/>
          <w:sz w:val="20"/>
          <w:szCs w:val="20"/>
        </w:rPr>
        <w:t>Die Festigkeitswerte der Proben müssen vorliegen. Es sollten mindestens 10 Proben eingesetzt werden.</w:t>
      </w:r>
      <w:r w:rsidRPr="009E0F0A">
        <w:rPr>
          <w:rFonts w:ascii="Arial" w:eastAsia="Palatino-Roman" w:hAnsi="Arial" w:cs="Arial"/>
          <w:sz w:val="20"/>
          <w:szCs w:val="20"/>
        </w:rPr>
        <w:t xml:space="preserve"> Die </w:t>
      </w:r>
      <w:proofErr w:type="spellStart"/>
      <w:r w:rsidRPr="009E0F0A">
        <w:rPr>
          <w:rFonts w:ascii="Arial" w:eastAsia="Palatino-Roman" w:hAnsi="Arial" w:cs="Arial"/>
          <w:sz w:val="20"/>
          <w:szCs w:val="20"/>
        </w:rPr>
        <w:t>Preparation</w:t>
      </w:r>
      <w:proofErr w:type="spellEnd"/>
      <w:r w:rsidRPr="009E0F0A">
        <w:rPr>
          <w:rFonts w:ascii="Arial" w:eastAsia="Palatino-Roman" w:hAnsi="Arial" w:cs="Arial"/>
          <w:sz w:val="20"/>
          <w:szCs w:val="20"/>
        </w:rPr>
        <w:t xml:space="preserve"> und das Material der Proben m</w:t>
      </w:r>
      <w:r w:rsidR="00226130">
        <w:rPr>
          <w:rFonts w:ascii="Arial" w:eastAsia="Palatino-Roman" w:hAnsi="Arial" w:cs="Arial"/>
          <w:sz w:val="20"/>
          <w:szCs w:val="20"/>
        </w:rPr>
        <w:t>ü</w:t>
      </w:r>
      <w:r w:rsidR="00FB1772" w:rsidRPr="009E0F0A">
        <w:rPr>
          <w:rFonts w:ascii="Arial" w:eastAsia="Palatino-Roman" w:hAnsi="Arial" w:cs="Arial"/>
          <w:sz w:val="20"/>
          <w:szCs w:val="20"/>
        </w:rPr>
        <w:t>ss</w:t>
      </w:r>
      <w:r w:rsidR="00226130">
        <w:rPr>
          <w:rFonts w:ascii="Arial" w:eastAsia="Palatino-Roman" w:hAnsi="Arial" w:cs="Arial"/>
          <w:sz w:val="20"/>
          <w:szCs w:val="20"/>
        </w:rPr>
        <w:t>en</w:t>
      </w:r>
      <w:r w:rsidRPr="009E0F0A">
        <w:rPr>
          <w:rFonts w:ascii="Arial" w:eastAsia="Palatino-Roman" w:hAnsi="Arial" w:cs="Arial"/>
          <w:sz w:val="20"/>
          <w:szCs w:val="20"/>
        </w:rPr>
        <w:t xml:space="preserve"> bei allen </w:t>
      </w:r>
      <w:r w:rsidR="00FB1772" w:rsidRPr="009E0F0A">
        <w:rPr>
          <w:rFonts w:ascii="Arial" w:eastAsia="Palatino-Roman" w:hAnsi="Arial" w:cs="Arial"/>
          <w:sz w:val="20"/>
          <w:szCs w:val="20"/>
        </w:rPr>
        <w:t xml:space="preserve">Proben </w:t>
      </w:r>
      <w:r w:rsidRPr="009E0F0A">
        <w:rPr>
          <w:rFonts w:ascii="Arial" w:eastAsia="Palatino-Roman" w:hAnsi="Arial" w:cs="Arial"/>
          <w:sz w:val="20"/>
          <w:szCs w:val="20"/>
        </w:rPr>
        <w:t>gleich sein. Je h</w:t>
      </w:r>
      <w:r w:rsidR="00FB1772" w:rsidRPr="009E0F0A">
        <w:rPr>
          <w:rFonts w:ascii="Arial" w:eastAsia="Palatino-Roman" w:hAnsi="Arial" w:cs="Arial"/>
          <w:sz w:val="20"/>
          <w:szCs w:val="20"/>
        </w:rPr>
        <w:t>ö</w:t>
      </w:r>
      <w:r w:rsidRPr="009E0F0A">
        <w:rPr>
          <w:rFonts w:ascii="Arial" w:eastAsia="Palatino-Roman" w:hAnsi="Arial" w:cs="Arial"/>
          <w:sz w:val="20"/>
          <w:szCs w:val="20"/>
        </w:rPr>
        <w:t xml:space="preserve">her die Anzahl der Proben ist, desto genauer ist die Statistik. </w:t>
      </w:r>
    </w:p>
    <w:p w:rsidR="00DD5152" w:rsidRPr="009E0F0A" w:rsidRDefault="00DD5152" w:rsidP="00DD5152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  <w:r w:rsidRPr="009E0F0A">
        <w:rPr>
          <w:rFonts w:ascii="Arial" w:eastAsia="Palatino-Roman" w:hAnsi="Arial" w:cs="Arial"/>
          <w:sz w:val="20"/>
          <w:szCs w:val="20"/>
        </w:rPr>
        <w:t xml:space="preserve">2. Die gemessenen Festigkeitswerte werden der Größe nach </w:t>
      </w:r>
      <w:r w:rsidR="0011727E" w:rsidRPr="009E0F0A">
        <w:rPr>
          <w:rFonts w:ascii="Arial" w:eastAsia="Palatino-Roman" w:hAnsi="Arial" w:cs="Arial"/>
          <w:sz w:val="20"/>
          <w:szCs w:val="20"/>
        </w:rPr>
        <w:t>sortiert</w:t>
      </w:r>
      <w:r w:rsidRPr="009E0F0A">
        <w:rPr>
          <w:rFonts w:ascii="Arial" w:eastAsia="Palatino-Roman" w:hAnsi="Arial" w:cs="Arial"/>
          <w:sz w:val="20"/>
          <w:szCs w:val="20"/>
        </w:rPr>
        <w:t xml:space="preserve"> und jeder Wert mit einer Ordnungszahl versehen. Bei N Proben erhält die Probe mit den niedrigsten Festigkeit die Zahl 1 und die mit dem höchsten Festigkeitswert die Zahl N.</w:t>
      </w:r>
    </w:p>
    <w:p w:rsidR="00DD5152" w:rsidRPr="009E0F0A" w:rsidRDefault="00DD5152" w:rsidP="00DD5152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  <w:r w:rsidRPr="009E0F0A">
        <w:rPr>
          <w:rFonts w:ascii="Arial" w:eastAsia="Palatino-Roman" w:hAnsi="Arial" w:cs="Arial"/>
          <w:sz w:val="20"/>
          <w:szCs w:val="20"/>
        </w:rPr>
        <w:t>3. Die Versagenswahrscheinlichkeit h</w:t>
      </w:r>
      <w:r w:rsidR="009E0F0A">
        <w:rPr>
          <w:rFonts w:ascii="Arial" w:eastAsia="Palatino-Roman" w:hAnsi="Arial" w:cs="Arial"/>
          <w:sz w:val="20"/>
          <w:szCs w:val="20"/>
        </w:rPr>
        <w:t>ä</w:t>
      </w:r>
      <w:r w:rsidRPr="009E0F0A">
        <w:rPr>
          <w:rFonts w:ascii="Arial" w:eastAsia="Palatino-Roman" w:hAnsi="Arial" w:cs="Arial"/>
          <w:sz w:val="20"/>
          <w:szCs w:val="20"/>
        </w:rPr>
        <w:t>ngt von der Anzahl der Proben und von ihrem Platz innerhalb der Reihe ab.</w:t>
      </w:r>
    </w:p>
    <w:p w:rsidR="00DD5152" w:rsidRPr="009E0F0A" w:rsidRDefault="00DD5152" w:rsidP="00DD5152">
      <w:pPr>
        <w:rPr>
          <w:rFonts w:ascii="Arial" w:eastAsia="Palatino-Roman" w:hAnsi="Arial" w:cs="Arial"/>
          <w:sz w:val="20"/>
          <w:szCs w:val="20"/>
        </w:rPr>
      </w:pPr>
      <w:r w:rsidRPr="009E0F0A">
        <w:rPr>
          <w:rFonts w:ascii="Arial" w:hAnsi="Arial" w:cs="Arial"/>
          <w:noProof/>
          <w:lang w:eastAsia="de-DE"/>
        </w:rPr>
        <w:drawing>
          <wp:inline distT="0" distB="0" distL="0" distR="0" wp14:anchorId="0A25447B" wp14:editId="52C0DAE1">
            <wp:extent cx="1171575" cy="547584"/>
            <wp:effectExtent l="0" t="0" r="0" b="508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78135" cy="55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152" w:rsidRPr="009E0F0A" w:rsidRDefault="00DD5152" w:rsidP="00DD5152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  <w:r w:rsidRPr="009E0F0A">
        <w:rPr>
          <w:rFonts w:ascii="Arial" w:eastAsia="Palatino-Roman" w:hAnsi="Arial" w:cs="Arial"/>
          <w:sz w:val="20"/>
          <w:szCs w:val="20"/>
        </w:rPr>
        <w:t>i ist hierbei der i-</w:t>
      </w:r>
      <w:proofErr w:type="spellStart"/>
      <w:r w:rsidRPr="009E0F0A">
        <w:rPr>
          <w:rFonts w:ascii="Arial" w:eastAsia="Palatino-Roman" w:hAnsi="Arial" w:cs="Arial"/>
          <w:sz w:val="20"/>
          <w:szCs w:val="20"/>
        </w:rPr>
        <w:t>te</w:t>
      </w:r>
      <w:proofErr w:type="spellEnd"/>
      <w:r w:rsidRPr="009E0F0A">
        <w:rPr>
          <w:rFonts w:ascii="Arial" w:eastAsia="Palatino-Roman" w:hAnsi="Arial" w:cs="Arial"/>
          <w:sz w:val="20"/>
          <w:szCs w:val="20"/>
        </w:rPr>
        <w:t xml:space="preserve"> Wert innerhalb der Reihe.</w:t>
      </w:r>
    </w:p>
    <w:p w:rsidR="00DD5152" w:rsidRDefault="00DD5152" w:rsidP="00DD5152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  <w:r w:rsidRPr="009E0F0A">
        <w:rPr>
          <w:rFonts w:ascii="Arial" w:eastAsia="Palatino-Roman" w:hAnsi="Arial" w:cs="Arial"/>
          <w:sz w:val="20"/>
          <w:szCs w:val="20"/>
        </w:rPr>
        <w:t xml:space="preserve">4. Alle Festigkeitswerte </w:t>
      </w:r>
      <w:proofErr w:type="spellStart"/>
      <w:r w:rsidRPr="009E0F0A">
        <w:rPr>
          <w:rFonts w:ascii="Arial" w:eastAsia="Palatino-Roman" w:hAnsi="Arial" w:cs="Arial"/>
          <w:sz w:val="20"/>
          <w:szCs w:val="20"/>
        </w:rPr>
        <w:t>s</w:t>
      </w:r>
      <w:r w:rsidRPr="000875FE">
        <w:rPr>
          <w:rFonts w:ascii="Arial" w:eastAsia="Palatino-Roman" w:hAnsi="Arial" w:cs="Arial"/>
          <w:sz w:val="20"/>
          <w:szCs w:val="20"/>
        </w:rPr>
        <w:t>c</w:t>
      </w:r>
      <w:proofErr w:type="spellEnd"/>
      <w:r w:rsidRPr="000875FE">
        <w:rPr>
          <w:rFonts w:ascii="Arial" w:eastAsia="Palatino-Roman" w:hAnsi="Arial" w:cs="Arial"/>
          <w:sz w:val="20"/>
          <w:szCs w:val="20"/>
        </w:rPr>
        <w:t xml:space="preserve"> </w:t>
      </w:r>
      <w:r w:rsidRPr="009E0F0A">
        <w:rPr>
          <w:rFonts w:ascii="Arial" w:eastAsia="Palatino-Roman" w:hAnsi="Arial" w:cs="Arial"/>
          <w:sz w:val="20"/>
          <w:szCs w:val="20"/>
        </w:rPr>
        <w:t xml:space="preserve">werden als </w:t>
      </w:r>
      <w:proofErr w:type="spellStart"/>
      <w:r w:rsidRPr="009E0F0A">
        <w:rPr>
          <w:rFonts w:ascii="Arial" w:eastAsia="Palatino-Roman" w:hAnsi="Arial" w:cs="Arial"/>
          <w:sz w:val="20"/>
          <w:szCs w:val="20"/>
        </w:rPr>
        <w:t>lns</w:t>
      </w:r>
      <w:r w:rsidRPr="000875FE">
        <w:rPr>
          <w:rFonts w:ascii="Arial" w:eastAsia="Palatino-Roman" w:hAnsi="Arial" w:cs="Arial"/>
          <w:sz w:val="20"/>
          <w:szCs w:val="20"/>
        </w:rPr>
        <w:t>c</w:t>
      </w:r>
      <w:proofErr w:type="spellEnd"/>
      <w:r w:rsidRPr="000875FE">
        <w:rPr>
          <w:rFonts w:ascii="Arial" w:eastAsia="Palatino-Roman" w:hAnsi="Arial" w:cs="Arial"/>
          <w:sz w:val="20"/>
          <w:szCs w:val="20"/>
        </w:rPr>
        <w:t xml:space="preserve"> </w:t>
      </w:r>
      <w:r w:rsidRPr="009E0F0A">
        <w:rPr>
          <w:rFonts w:ascii="Arial" w:eastAsia="Palatino-Roman" w:hAnsi="Arial" w:cs="Arial"/>
          <w:sz w:val="20"/>
          <w:szCs w:val="20"/>
        </w:rPr>
        <w:t xml:space="preserve">gegen </w:t>
      </w:r>
      <w:proofErr w:type="spellStart"/>
      <w:r w:rsidRPr="009E0F0A">
        <w:rPr>
          <w:rFonts w:ascii="Arial" w:eastAsia="Palatino-Roman" w:hAnsi="Arial" w:cs="Arial"/>
          <w:sz w:val="20"/>
          <w:szCs w:val="20"/>
        </w:rPr>
        <w:t>lnln</w:t>
      </w:r>
      <w:proofErr w:type="spellEnd"/>
      <w:r w:rsidR="00850150">
        <w:rPr>
          <w:rFonts w:ascii="Arial" w:eastAsia="Palatino-Roman" w:hAnsi="Arial" w:cs="Arial"/>
          <w:sz w:val="20"/>
          <w:szCs w:val="20"/>
        </w:rPr>
        <w:t>[</w:t>
      </w:r>
      <w:r w:rsidRPr="009E0F0A">
        <w:rPr>
          <w:rFonts w:ascii="Arial" w:eastAsia="Palatino-Roman" w:hAnsi="Arial" w:cs="Arial"/>
          <w:sz w:val="20"/>
          <w:szCs w:val="20"/>
        </w:rPr>
        <w:t>1/(1-</w:t>
      </w:r>
      <w:r w:rsidRPr="000875FE">
        <w:rPr>
          <w:rFonts w:ascii="Arial" w:eastAsia="Palatino-Roman" w:hAnsi="Arial" w:cs="Arial"/>
          <w:sz w:val="20"/>
          <w:szCs w:val="20"/>
        </w:rPr>
        <w:t>F</w:t>
      </w:r>
      <w:r w:rsidRPr="009E0F0A">
        <w:rPr>
          <w:rFonts w:ascii="Arial" w:eastAsia="Palatino-Roman" w:hAnsi="Arial" w:cs="Arial"/>
          <w:sz w:val="20"/>
          <w:szCs w:val="20"/>
        </w:rPr>
        <w:t>)</w:t>
      </w:r>
      <w:r w:rsidR="00850150">
        <w:rPr>
          <w:rFonts w:ascii="Arial" w:eastAsia="Palatino-Roman" w:hAnsi="Arial" w:cs="Arial"/>
          <w:sz w:val="20"/>
          <w:szCs w:val="20"/>
        </w:rPr>
        <w:t>]</w:t>
      </w:r>
      <w:r w:rsidRPr="009E0F0A">
        <w:rPr>
          <w:rFonts w:ascii="Arial" w:eastAsia="Palatino-Roman" w:hAnsi="Arial" w:cs="Arial"/>
          <w:sz w:val="20"/>
          <w:szCs w:val="20"/>
        </w:rPr>
        <w:t xml:space="preserve"> aufgetragen. Die Werte werden durch eine Ausgleichsgerade verbunden. Die Steigung der Ausgleichsgeraden ist der Weibullparameter m und der Wert der Geraden beim Punkt </w:t>
      </w:r>
      <w:proofErr w:type="spellStart"/>
      <w:r w:rsidRPr="009E0F0A">
        <w:rPr>
          <w:rFonts w:ascii="Arial" w:eastAsia="Palatino-Roman" w:hAnsi="Arial" w:cs="Arial"/>
          <w:sz w:val="20"/>
          <w:szCs w:val="20"/>
        </w:rPr>
        <w:t>lnln</w:t>
      </w:r>
      <w:proofErr w:type="spellEnd"/>
      <w:r w:rsidRPr="009E0F0A">
        <w:rPr>
          <w:rFonts w:ascii="Arial" w:eastAsia="Palatino-Roman" w:hAnsi="Arial" w:cs="Arial"/>
          <w:sz w:val="20"/>
          <w:szCs w:val="20"/>
        </w:rPr>
        <w:t xml:space="preserve">[1/(1-F)]=0 ist der Wert </w:t>
      </w:r>
      <w:proofErr w:type="spellStart"/>
      <w:r w:rsidRPr="009E0F0A">
        <w:rPr>
          <w:rFonts w:ascii="Arial" w:eastAsia="Palatino-Roman" w:hAnsi="Arial" w:cs="Arial"/>
          <w:sz w:val="20"/>
          <w:szCs w:val="20"/>
        </w:rPr>
        <w:t>ln</w:t>
      </w:r>
      <w:proofErr w:type="spellEnd"/>
      <w:r w:rsidR="00D8659D">
        <w:rPr>
          <w:rFonts w:ascii="Arial" w:eastAsia="Palatino-Roman" w:hAnsi="Arial" w:cs="Arial"/>
          <w:sz w:val="20"/>
          <w:szCs w:val="20"/>
        </w:rPr>
        <w:t>(Sigma</w:t>
      </w:r>
      <w:r w:rsidRPr="000875FE">
        <w:rPr>
          <w:rFonts w:ascii="Arial" w:eastAsia="Palatino-Roman" w:hAnsi="Arial" w:cs="Arial"/>
          <w:sz w:val="20"/>
          <w:szCs w:val="20"/>
        </w:rPr>
        <w:t>0</w:t>
      </w:r>
      <w:r w:rsidR="00D8659D">
        <w:rPr>
          <w:rFonts w:ascii="Arial" w:eastAsia="Palatino-Roman" w:hAnsi="Arial" w:cs="Arial"/>
          <w:sz w:val="20"/>
          <w:szCs w:val="20"/>
        </w:rPr>
        <w:t>)</w:t>
      </w:r>
      <w:r w:rsidRPr="000875FE">
        <w:rPr>
          <w:rFonts w:ascii="Arial" w:eastAsia="Palatino-Roman" w:hAnsi="Arial" w:cs="Arial"/>
          <w:sz w:val="20"/>
          <w:szCs w:val="20"/>
        </w:rPr>
        <w:t>.</w:t>
      </w:r>
    </w:p>
    <w:p w:rsidR="00D84C3B" w:rsidRPr="00D84C3B" w:rsidRDefault="00D84C3B" w:rsidP="00D84C3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0"/>
        <w:gridCol w:w="1071"/>
        <w:gridCol w:w="1951"/>
        <w:gridCol w:w="1323"/>
        <w:gridCol w:w="1379"/>
        <w:gridCol w:w="1379"/>
        <w:gridCol w:w="1379"/>
      </w:tblGrid>
      <w:tr w:rsidR="00D84C3B" w:rsidRPr="00D84C3B" w:rsidTr="00D84C3B"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84C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Koeffizienten</w:t>
            </w:r>
            <w:r w:rsidRPr="00D84C3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D84C3B" w:rsidRPr="00D84C3B" w:rsidTr="00D84C3B">
        <w:trPr>
          <w:cantSplit/>
        </w:trPr>
        <w:tc>
          <w:tcPr>
            <w:tcW w:w="916" w:type="pct"/>
            <w:gridSpan w:val="2"/>
            <w:vMerge w:val="restart"/>
            <w:tcBorders>
              <w:bottom w:val="nil"/>
              <w:right w:val="nil"/>
            </w:tcBorders>
            <w:shd w:val="clear" w:color="auto" w:fill="FFFFFF"/>
            <w:vAlign w:val="center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>Modell</w:t>
            </w:r>
          </w:p>
        </w:tc>
        <w:tc>
          <w:tcPr>
            <w:tcW w:w="1804" w:type="pct"/>
            <w:gridSpan w:val="2"/>
            <w:shd w:val="clear" w:color="auto" w:fill="FFFFFF"/>
            <w:vAlign w:val="center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>Nicht standardisierte Koeffizienten</w:t>
            </w:r>
          </w:p>
        </w:tc>
        <w:tc>
          <w:tcPr>
            <w:tcW w:w="760" w:type="pct"/>
            <w:shd w:val="clear" w:color="auto" w:fill="FFFFFF"/>
            <w:vAlign w:val="center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>Standardisierte Koeffizienten</w:t>
            </w:r>
          </w:p>
        </w:tc>
        <w:tc>
          <w:tcPr>
            <w:tcW w:w="760" w:type="pct"/>
            <w:vMerge w:val="restart"/>
            <w:shd w:val="clear" w:color="auto" w:fill="FFFFFF"/>
            <w:vAlign w:val="center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760" w:type="pct"/>
            <w:vMerge w:val="restart"/>
            <w:shd w:val="clear" w:color="auto" w:fill="FFFFFF"/>
            <w:vAlign w:val="center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>Sig</w:t>
            </w:r>
            <w:proofErr w:type="spellEnd"/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D84C3B" w:rsidRPr="00D84C3B" w:rsidTr="00D84C3B">
        <w:trPr>
          <w:cantSplit/>
        </w:trPr>
        <w:tc>
          <w:tcPr>
            <w:tcW w:w="916" w:type="pct"/>
            <w:gridSpan w:val="2"/>
            <w:vMerge/>
            <w:tcBorders>
              <w:bottom w:val="nil"/>
              <w:right w:val="nil"/>
            </w:tcBorders>
            <w:shd w:val="clear" w:color="auto" w:fill="FFFFFF"/>
            <w:vAlign w:val="center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5" w:type="pct"/>
            <w:shd w:val="clear" w:color="auto" w:fill="FFFFFF"/>
            <w:vAlign w:val="center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>Regressionskoeffizient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729" w:type="pct"/>
            <w:shd w:val="clear" w:color="auto" w:fill="FFFFFF"/>
            <w:vAlign w:val="center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>Standardfehler</w:t>
            </w:r>
          </w:p>
        </w:tc>
        <w:tc>
          <w:tcPr>
            <w:tcW w:w="760" w:type="pct"/>
            <w:shd w:val="clear" w:color="auto" w:fill="FFFFFF"/>
            <w:vAlign w:val="center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760" w:type="pct"/>
            <w:vMerge/>
            <w:shd w:val="clear" w:color="auto" w:fill="FFFFFF"/>
            <w:vAlign w:val="center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0" w:type="pct"/>
            <w:vMerge/>
            <w:shd w:val="clear" w:color="auto" w:fill="FFFFFF"/>
            <w:vAlign w:val="center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84C3B" w:rsidRPr="00D84C3B" w:rsidTr="00D84C3B">
        <w:trPr>
          <w:cantSplit/>
        </w:trPr>
        <w:tc>
          <w:tcPr>
            <w:tcW w:w="326" w:type="pct"/>
            <w:vMerge w:val="restart"/>
            <w:shd w:val="clear" w:color="auto" w:fill="FFFFFF"/>
            <w:vAlign w:val="center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90" w:type="pct"/>
            <w:shd w:val="clear" w:color="auto" w:fill="FFFFFF"/>
            <w:vAlign w:val="center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>(Konstante)</w:t>
            </w:r>
          </w:p>
        </w:tc>
        <w:tc>
          <w:tcPr>
            <w:tcW w:w="1075" w:type="pct"/>
            <w:shd w:val="clear" w:color="auto" w:fill="FFFFFF"/>
          </w:tcPr>
          <w:p w:rsidR="00D84C3B" w:rsidRPr="00D55913" w:rsidRDefault="00D84C3B" w:rsidP="00D84C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55913">
              <w:rPr>
                <w:rFonts w:ascii="Arial" w:hAnsi="Arial" w:cs="Arial"/>
                <w:b/>
                <w:color w:val="000000"/>
                <w:sz w:val="18"/>
                <w:szCs w:val="18"/>
              </w:rPr>
              <w:t>-10,095</w:t>
            </w:r>
          </w:p>
        </w:tc>
        <w:tc>
          <w:tcPr>
            <w:tcW w:w="729" w:type="pct"/>
            <w:shd w:val="clear" w:color="auto" w:fill="FFFFFF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>,333</w:t>
            </w:r>
          </w:p>
        </w:tc>
        <w:tc>
          <w:tcPr>
            <w:tcW w:w="760" w:type="pct"/>
            <w:shd w:val="clear" w:color="auto" w:fill="FFFFFF"/>
            <w:vAlign w:val="center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shd w:val="clear" w:color="auto" w:fill="FFFFFF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>-30,334</w:t>
            </w:r>
          </w:p>
        </w:tc>
        <w:tc>
          <w:tcPr>
            <w:tcW w:w="760" w:type="pct"/>
            <w:shd w:val="clear" w:color="auto" w:fill="FFFFFF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D84C3B" w:rsidRPr="00D84C3B" w:rsidTr="00D84C3B">
        <w:trPr>
          <w:cantSplit/>
        </w:trPr>
        <w:tc>
          <w:tcPr>
            <w:tcW w:w="326" w:type="pct"/>
            <w:vMerge/>
            <w:shd w:val="clear" w:color="auto" w:fill="FFFFFF"/>
            <w:vAlign w:val="center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0" w:type="pct"/>
            <w:shd w:val="clear" w:color="auto" w:fill="FFFFFF"/>
            <w:vAlign w:val="center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>ln</w:t>
            </w:r>
            <w:proofErr w:type="spellEnd"/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>sigma</w:t>
            </w:r>
            <w:proofErr w:type="spellEnd"/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 xml:space="preserve"> c</w:t>
            </w:r>
          </w:p>
        </w:tc>
        <w:tc>
          <w:tcPr>
            <w:tcW w:w="1075" w:type="pct"/>
            <w:shd w:val="clear" w:color="auto" w:fill="FFFFFF"/>
          </w:tcPr>
          <w:p w:rsidR="00D84C3B" w:rsidRPr="00D55913" w:rsidRDefault="00D84C3B" w:rsidP="00D84C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55913">
              <w:rPr>
                <w:rFonts w:ascii="Arial" w:hAnsi="Arial" w:cs="Arial"/>
                <w:b/>
                <w:color w:val="000000"/>
                <w:sz w:val="18"/>
                <w:szCs w:val="18"/>
              </w:rPr>
              <w:t>2,728</w:t>
            </w:r>
          </w:p>
        </w:tc>
        <w:tc>
          <w:tcPr>
            <w:tcW w:w="729" w:type="pct"/>
            <w:shd w:val="clear" w:color="auto" w:fill="FFFFFF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>,095</w:t>
            </w:r>
          </w:p>
        </w:tc>
        <w:tc>
          <w:tcPr>
            <w:tcW w:w="760" w:type="pct"/>
            <w:shd w:val="clear" w:color="auto" w:fill="FFFFFF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>,984</w:t>
            </w:r>
          </w:p>
        </w:tc>
        <w:tc>
          <w:tcPr>
            <w:tcW w:w="760" w:type="pct"/>
            <w:shd w:val="clear" w:color="auto" w:fill="FFFFFF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>28,860</w:t>
            </w:r>
          </w:p>
        </w:tc>
        <w:tc>
          <w:tcPr>
            <w:tcW w:w="760" w:type="pct"/>
            <w:shd w:val="clear" w:color="auto" w:fill="FFFFFF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D84C3B" w:rsidRPr="00D84C3B" w:rsidTr="00D84C3B"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84C3B" w:rsidRPr="00D84C3B" w:rsidRDefault="00D84C3B" w:rsidP="00D84C3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 xml:space="preserve">a. Abhängige Variable: </w:t>
            </w:r>
            <w:proofErr w:type="spellStart"/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>lnln</w:t>
            </w:r>
            <w:proofErr w:type="spellEnd"/>
            <w:r w:rsidRPr="00D84C3B">
              <w:rPr>
                <w:rFonts w:ascii="Arial" w:hAnsi="Arial" w:cs="Arial"/>
                <w:color w:val="000000"/>
                <w:sz w:val="18"/>
                <w:szCs w:val="18"/>
              </w:rPr>
              <w:t xml:space="preserve"> 1 / (1 - F)</w:t>
            </w:r>
          </w:p>
        </w:tc>
      </w:tr>
    </w:tbl>
    <w:p w:rsidR="00D84C3B" w:rsidRDefault="00D84C3B" w:rsidP="00D84C3B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</w:p>
    <w:p w:rsidR="00D84C3B" w:rsidRDefault="00D84C3B" w:rsidP="00D84C3B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  <w:r w:rsidRPr="00051BB2">
        <w:rPr>
          <w:rFonts w:ascii="Arial" w:eastAsia="Palatino-Roman" w:hAnsi="Arial" w:cs="Arial"/>
          <w:sz w:val="20"/>
          <w:szCs w:val="20"/>
        </w:rPr>
        <w:t>Sigma</w:t>
      </w:r>
      <w:r>
        <w:rPr>
          <w:rFonts w:ascii="Arial" w:eastAsia="Palatino-Roman" w:hAnsi="Arial" w:cs="Arial"/>
          <w:sz w:val="20"/>
          <w:szCs w:val="20"/>
        </w:rPr>
        <w:t xml:space="preserve">0 = </w:t>
      </w:r>
      <w:r>
        <w:rPr>
          <w:rFonts w:ascii="Arial" w:eastAsia="Palatino-Roman" w:hAnsi="Arial" w:cs="Arial"/>
          <w:sz w:val="20"/>
          <w:szCs w:val="20"/>
        </w:rPr>
        <w:tab/>
      </w:r>
      <w:r w:rsidRPr="00051BB2">
        <w:rPr>
          <w:rFonts w:ascii="Arial" w:eastAsia="Palatino-Roman" w:hAnsi="Arial" w:cs="Arial"/>
          <w:sz w:val="20"/>
          <w:szCs w:val="20"/>
        </w:rPr>
        <w:t>EXP((0-</w:t>
      </w:r>
      <w:r>
        <w:rPr>
          <w:rFonts w:ascii="Arial" w:eastAsia="Palatino-Roman" w:hAnsi="Arial" w:cs="Arial"/>
          <w:sz w:val="20"/>
          <w:szCs w:val="20"/>
        </w:rPr>
        <w:t>(-10,095)</w:t>
      </w:r>
      <w:r w:rsidRPr="00051BB2">
        <w:rPr>
          <w:rFonts w:ascii="Arial" w:eastAsia="Palatino-Roman" w:hAnsi="Arial" w:cs="Arial"/>
          <w:sz w:val="20"/>
          <w:szCs w:val="20"/>
        </w:rPr>
        <w:t>)/</w:t>
      </w:r>
      <w:r>
        <w:rPr>
          <w:rFonts w:ascii="Arial" w:eastAsia="Palatino-Roman" w:hAnsi="Arial" w:cs="Arial"/>
          <w:sz w:val="20"/>
          <w:szCs w:val="20"/>
        </w:rPr>
        <w:t>2,728</w:t>
      </w:r>
      <w:r w:rsidRPr="00051BB2">
        <w:rPr>
          <w:rFonts w:ascii="Arial" w:eastAsia="Palatino-Roman" w:hAnsi="Arial" w:cs="Arial"/>
          <w:sz w:val="20"/>
          <w:szCs w:val="20"/>
        </w:rPr>
        <w:t>)</w:t>
      </w:r>
      <w:r>
        <w:rPr>
          <w:rFonts w:ascii="Arial" w:eastAsia="Palatino-Roman" w:hAnsi="Arial" w:cs="Arial"/>
          <w:sz w:val="20"/>
          <w:szCs w:val="20"/>
        </w:rPr>
        <w:t xml:space="preserve"> = 40,468</w:t>
      </w:r>
    </w:p>
    <w:p w:rsidR="00D84C3B" w:rsidRPr="00051BB2" w:rsidRDefault="00D84C3B" w:rsidP="00D84C3B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  <w:r>
        <w:rPr>
          <w:rFonts w:ascii="Arial" w:eastAsia="Palatino-Roman" w:hAnsi="Arial" w:cs="Arial"/>
          <w:sz w:val="20"/>
          <w:szCs w:val="20"/>
        </w:rPr>
        <w:t xml:space="preserve">m = </w:t>
      </w:r>
      <w:r>
        <w:rPr>
          <w:rFonts w:ascii="Arial" w:eastAsia="Palatino-Roman" w:hAnsi="Arial" w:cs="Arial"/>
          <w:sz w:val="20"/>
          <w:szCs w:val="20"/>
        </w:rPr>
        <w:tab/>
      </w:r>
      <w:r>
        <w:rPr>
          <w:rFonts w:ascii="Arial" w:eastAsia="Palatino-Roman" w:hAnsi="Arial" w:cs="Arial"/>
          <w:sz w:val="20"/>
          <w:szCs w:val="20"/>
        </w:rPr>
        <w:tab/>
        <w:t>2,728</w:t>
      </w:r>
    </w:p>
    <w:p w:rsidR="00051BB2" w:rsidRPr="00051BB2" w:rsidRDefault="00051BB2" w:rsidP="00051BB2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51BB2" w:rsidRDefault="003F68E3" w:rsidP="00051BB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10E0D947">
            <wp:extent cx="4068000" cy="3261600"/>
            <wp:effectExtent l="0" t="0" r="889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8000" cy="326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0F0A" w:rsidRPr="000875FE" w:rsidRDefault="009E0F0A" w:rsidP="00DD5152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</w:p>
    <w:p w:rsidR="009E0F0A" w:rsidRPr="00051BB2" w:rsidRDefault="00051BB2" w:rsidP="00DD5152">
      <w:pPr>
        <w:autoSpaceDE w:val="0"/>
        <w:autoSpaceDN w:val="0"/>
        <w:adjustRightInd w:val="0"/>
        <w:rPr>
          <w:rFonts w:ascii="Arial" w:eastAsia="Palatino-Roman" w:hAnsi="Arial" w:cs="Arial"/>
          <w:b/>
          <w:szCs w:val="20"/>
        </w:rPr>
      </w:pPr>
      <w:r w:rsidRPr="00051BB2">
        <w:rPr>
          <w:rFonts w:ascii="Arial" w:eastAsia="Palatino-Roman" w:hAnsi="Arial" w:cs="Arial"/>
          <w:b/>
          <w:szCs w:val="20"/>
        </w:rPr>
        <w:t>Datensatz</w:t>
      </w:r>
    </w:p>
    <w:p w:rsidR="00051BB2" w:rsidRDefault="00051BB2" w:rsidP="00DD5152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</w:p>
    <w:tbl>
      <w:tblPr>
        <w:tblW w:w="240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</w:tblGrid>
      <w:tr w:rsidR="00051BB2" w:rsidRPr="00051BB2" w:rsidTr="00051BB2">
        <w:trPr>
          <w:trHeight w:val="300"/>
        </w:trPr>
        <w:tc>
          <w:tcPr>
            <w:tcW w:w="1200" w:type="dxa"/>
            <w:shd w:val="clear" w:color="auto" w:fill="D9D9D9" w:themeFill="background1" w:themeFillShade="D9"/>
            <w:noWrap/>
            <w:vAlign w:val="bottom"/>
            <w:hideMark/>
          </w:tcPr>
          <w:p w:rsidR="00051BB2" w:rsidRPr="00051BB2" w:rsidRDefault="00051BB2" w:rsidP="00051BB2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IDNR</w:t>
            </w:r>
          </w:p>
        </w:tc>
        <w:tc>
          <w:tcPr>
            <w:tcW w:w="1200" w:type="dxa"/>
            <w:shd w:val="clear" w:color="auto" w:fill="D9D9D9" w:themeFill="background1" w:themeFillShade="D9"/>
            <w:noWrap/>
            <w:vAlign w:val="bottom"/>
            <w:hideMark/>
          </w:tcPr>
          <w:p w:rsidR="00051BB2" w:rsidRPr="00051BB2" w:rsidRDefault="00051BB2" w:rsidP="00051BB2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Festigkeit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60,00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33,40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34,80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21,00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34,30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44,00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48,10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52,30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44,60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44,80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12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47,20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13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31,30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24,30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15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25,10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16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53,20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17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52,50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18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30,70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19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46,60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20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14,40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14,70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55,10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23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12,00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17,40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25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28,70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26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20,20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27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54,80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28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24,50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29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Pr="006D4004" w:rsidRDefault="00D84C3B" w:rsidP="00D84C3B">
            <w:pPr>
              <w:jc w:val="center"/>
            </w:pPr>
            <w:r w:rsidRPr="006D4004">
              <w:t>38,50</w:t>
            </w:r>
          </w:p>
        </w:tc>
      </w:tr>
      <w:tr w:rsidR="00D84C3B" w:rsidRPr="00051BB2" w:rsidTr="002B68C5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4C3B" w:rsidRPr="00051BB2" w:rsidRDefault="00D84C3B" w:rsidP="00A51963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51BB2">
              <w:rPr>
                <w:rFonts w:ascii="Calibri" w:eastAsia="Times New Roman" w:hAnsi="Calibri" w:cs="Times New Roman"/>
                <w:color w:val="000000"/>
                <w:lang w:eastAsia="de-DE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84C3B" w:rsidRDefault="00D84C3B" w:rsidP="00D84C3B">
            <w:pPr>
              <w:jc w:val="center"/>
            </w:pPr>
            <w:r w:rsidRPr="006D4004">
              <w:t>33,40</w:t>
            </w:r>
          </w:p>
        </w:tc>
      </w:tr>
    </w:tbl>
    <w:p w:rsidR="00051BB2" w:rsidRPr="000875FE" w:rsidRDefault="00051BB2" w:rsidP="00DD5152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</w:p>
    <w:sectPr w:rsidR="00051BB2" w:rsidRPr="000875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-Roman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152"/>
    <w:rsid w:val="00051BB2"/>
    <w:rsid w:val="000875FE"/>
    <w:rsid w:val="0011727E"/>
    <w:rsid w:val="00226130"/>
    <w:rsid w:val="002D1D71"/>
    <w:rsid w:val="003F68E3"/>
    <w:rsid w:val="00437DB9"/>
    <w:rsid w:val="005B398D"/>
    <w:rsid w:val="006B1F69"/>
    <w:rsid w:val="006E1E68"/>
    <w:rsid w:val="007D5693"/>
    <w:rsid w:val="00850150"/>
    <w:rsid w:val="00956D2F"/>
    <w:rsid w:val="009E0F0A"/>
    <w:rsid w:val="00A51963"/>
    <w:rsid w:val="00AE1A72"/>
    <w:rsid w:val="00BA0CBD"/>
    <w:rsid w:val="00CB1E7C"/>
    <w:rsid w:val="00D55913"/>
    <w:rsid w:val="00D84C3B"/>
    <w:rsid w:val="00D8659D"/>
    <w:rsid w:val="00DD5152"/>
    <w:rsid w:val="00FB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E1A72"/>
  </w:style>
  <w:style w:type="paragraph" w:styleId="berschrift1">
    <w:name w:val="heading 1"/>
    <w:basedOn w:val="Standard"/>
    <w:next w:val="Standard"/>
    <w:link w:val="berschrift1Zchn"/>
    <w:uiPriority w:val="9"/>
    <w:qFormat/>
    <w:rsid w:val="00AE1A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E1A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reference-text">
    <w:name w:val="reference-text"/>
    <w:basedOn w:val="Absatz-Standardschriftart"/>
    <w:rsid w:val="00AE1A72"/>
  </w:style>
  <w:style w:type="character" w:customStyle="1" w:styleId="berschrift1Zchn">
    <w:name w:val="Überschrift 1 Zchn"/>
    <w:basedOn w:val="Absatz-Standardschriftart"/>
    <w:link w:val="berschrift1"/>
    <w:uiPriority w:val="9"/>
    <w:rsid w:val="00AE1A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E1A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E1A72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E1A72"/>
    <w:rPr>
      <w:sz w:val="20"/>
      <w:szCs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AE1A7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E1A72"/>
  </w:style>
  <w:style w:type="paragraph" w:styleId="Fuzeile">
    <w:name w:val="footer"/>
    <w:basedOn w:val="Standard"/>
    <w:link w:val="FuzeileZchn"/>
    <w:uiPriority w:val="99"/>
    <w:semiHidden/>
    <w:unhideWhenUsed/>
    <w:rsid w:val="00AE1A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E1A72"/>
  </w:style>
  <w:style w:type="paragraph" w:styleId="Beschriftung">
    <w:name w:val="caption"/>
    <w:basedOn w:val="Standard"/>
    <w:next w:val="Standard"/>
    <w:uiPriority w:val="35"/>
    <w:unhideWhenUsed/>
    <w:qFormat/>
    <w:rsid w:val="00AE1A72"/>
    <w:pPr>
      <w:spacing w:after="200"/>
    </w:pPr>
    <w:rPr>
      <w:b/>
      <w:bCs/>
      <w:color w:val="4F81BD" w:themeColor="accent1"/>
      <w:sz w:val="18"/>
      <w:szCs w:val="18"/>
    </w:rPr>
  </w:style>
  <w:style w:type="character" w:styleId="Funotenzeichen">
    <w:name w:val="footnote reference"/>
    <w:basedOn w:val="Absatz-Standardschriftart"/>
    <w:uiPriority w:val="99"/>
    <w:semiHidden/>
    <w:unhideWhenUsed/>
    <w:rsid w:val="00AE1A72"/>
    <w:rPr>
      <w:vertAlign w:val="superscript"/>
    </w:rPr>
  </w:style>
  <w:style w:type="character" w:styleId="Endnotenzeichen">
    <w:name w:val="endnote reference"/>
    <w:basedOn w:val="Absatz-Standardschriftart"/>
    <w:uiPriority w:val="99"/>
    <w:semiHidden/>
    <w:unhideWhenUsed/>
    <w:rsid w:val="00AE1A72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E1A72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AE1A72"/>
    <w:rPr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E1A72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AE1A7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1A7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1A7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E1A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E1A72"/>
  </w:style>
  <w:style w:type="paragraph" w:styleId="berschrift1">
    <w:name w:val="heading 1"/>
    <w:basedOn w:val="Standard"/>
    <w:next w:val="Standard"/>
    <w:link w:val="berschrift1Zchn"/>
    <w:uiPriority w:val="9"/>
    <w:qFormat/>
    <w:rsid w:val="00AE1A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E1A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reference-text">
    <w:name w:val="reference-text"/>
    <w:basedOn w:val="Absatz-Standardschriftart"/>
    <w:rsid w:val="00AE1A72"/>
  </w:style>
  <w:style w:type="character" w:customStyle="1" w:styleId="berschrift1Zchn">
    <w:name w:val="Überschrift 1 Zchn"/>
    <w:basedOn w:val="Absatz-Standardschriftart"/>
    <w:link w:val="berschrift1"/>
    <w:uiPriority w:val="9"/>
    <w:rsid w:val="00AE1A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E1A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E1A72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E1A72"/>
    <w:rPr>
      <w:sz w:val="20"/>
      <w:szCs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AE1A7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E1A72"/>
  </w:style>
  <w:style w:type="paragraph" w:styleId="Fuzeile">
    <w:name w:val="footer"/>
    <w:basedOn w:val="Standard"/>
    <w:link w:val="FuzeileZchn"/>
    <w:uiPriority w:val="99"/>
    <w:semiHidden/>
    <w:unhideWhenUsed/>
    <w:rsid w:val="00AE1A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E1A72"/>
  </w:style>
  <w:style w:type="paragraph" w:styleId="Beschriftung">
    <w:name w:val="caption"/>
    <w:basedOn w:val="Standard"/>
    <w:next w:val="Standard"/>
    <w:uiPriority w:val="35"/>
    <w:unhideWhenUsed/>
    <w:qFormat/>
    <w:rsid w:val="00AE1A72"/>
    <w:pPr>
      <w:spacing w:after="200"/>
    </w:pPr>
    <w:rPr>
      <w:b/>
      <w:bCs/>
      <w:color w:val="4F81BD" w:themeColor="accent1"/>
      <w:sz w:val="18"/>
      <w:szCs w:val="18"/>
    </w:rPr>
  </w:style>
  <w:style w:type="character" w:styleId="Funotenzeichen">
    <w:name w:val="footnote reference"/>
    <w:basedOn w:val="Absatz-Standardschriftart"/>
    <w:uiPriority w:val="99"/>
    <w:semiHidden/>
    <w:unhideWhenUsed/>
    <w:rsid w:val="00AE1A72"/>
    <w:rPr>
      <w:vertAlign w:val="superscript"/>
    </w:rPr>
  </w:style>
  <w:style w:type="character" w:styleId="Endnotenzeichen">
    <w:name w:val="endnote reference"/>
    <w:basedOn w:val="Absatz-Standardschriftart"/>
    <w:uiPriority w:val="99"/>
    <w:semiHidden/>
    <w:unhideWhenUsed/>
    <w:rsid w:val="00AE1A72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E1A72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AE1A72"/>
    <w:rPr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E1A72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AE1A7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1A7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1A7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E1A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9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StatisticEye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StatisticEye</dc:creator>
  <cp:lastModifiedBy>StatisticEye</cp:lastModifiedBy>
  <cp:revision>20</cp:revision>
  <dcterms:created xsi:type="dcterms:W3CDTF">2016-03-29T12:37:00Z</dcterms:created>
  <dcterms:modified xsi:type="dcterms:W3CDTF">2016-03-31T07:02:00Z</dcterms:modified>
</cp:coreProperties>
</file>